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pct" w:w="5000"/>
        <w:jc w:val="center"/>
        <w:tblLayout w:type="fixed"/>
        <w:tblLook w:firstColumn="1" w:firstRow="1" w:lastColumn="0" w:lastRow="0" w:noHBand="0" w:noVBand="1" w:val="04A0"/>
      </w:tblPr>
      <w:tblGrid>
        <w:gridCol w:w="10998"/>
      </w:tblGrid>
      <w:tr>
        <w:tc>
          <w:tcPr>
            <w:tcW w:type="dxa" w:w="10998"/>
            <w:shd w:fill="F6F1EB"/>
            <w:tcMar>
              <w:top w:w="90" w:type="dxa"/>
              <w:start w:w="110" w:type="dxa"/>
              <w:bottom w:w="80" w:type="dxa"/>
              <w:end w:w="110" w:type="dxa"/>
            </w:tcMar>
            <w:tcBorders>
              <w:top w:sz="10" w:val="single" w:color="B08D57"/>
              <w:left w:sz="10" w:val="single" w:color="B08D57"/>
              <w:bottom w:sz="10" w:val="single" w:color="B08D57"/>
              <w:right w:sz="10" w:val="single" w:color="B08D57"/>
            </w:tcBorders>
          </w:tcPr>
          <w:p>
            <w:r/>
          </w:p>
          <w:tbl>
            <w:tblPr>
              <w:tblW w:type="pct" w:w="5000"/>
              <w:jc w:val="center"/>
              <w:tblLook w:firstColumn="1" w:firstRow="1" w:lastColumn="0" w:lastRow="0" w:noHBand="0" w:noVBand="1" w:val="04A0"/>
            </w:tblPr>
            <w:tblGrid>
              <w:gridCol w:w="10998"/>
            </w:tblGrid>
            <w:tr>
              <w:tc>
                <w:tcPr>
                  <w:tcW w:type="dxa" w:w="10998"/>
                  <w:shd w:fill="4C0E14"/>
                  <w:tcMar>
                    <w:top w:w="140" w:type="dxa"/>
                    <w:start w:w="140" w:type="dxa"/>
                    <w:bottom w:w="110" w:type="dxa"/>
                    <w:end w:w="140" w:type="dxa"/>
                  </w:tcMar>
                </w:tcPr>
                <w:p>
                  <w:r/>
                </w:p>
                <w:p>
                  <w:pPr>
                    <w:spacing w:after="20" w:before="0" w:line="240" w:lineRule="auto"/>
                    <w:jc w:val="center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FFFFFF"/>
                      <w:sz w:val="29"/>
                    </w:rPr>
                    <w:t>AURALUXE BEAUTY STUDIO &amp; ACADEMY</w:t>
                  </w:r>
                </w:p>
                <w:p>
                  <w:pPr>
                    <w:spacing w:after="0" w:before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i w:val="0"/>
                      <w:color w:val="F4E8D7"/>
                      <w:sz w:val="17"/>
                    </w:rPr>
                    <w:t>COLLEGE &amp; FURTHER EDUCATION TRAINING PARTNERSHIPS</w:t>
                  </w:r>
                </w:p>
                <w:p>
                  <w:pPr>
                    <w:spacing w:after="0" w:before="0" w:line="240" w:lineRule="auto"/>
                    <w:jc w:val="center"/>
                  </w:pPr>
                  <w:r>
                    <w:rPr>
                      <w:rFonts w:ascii="Georgia" w:hAnsi="Georgia" w:eastAsia="Georgia"/>
                      <w:b w:val="0"/>
                      <w:i/>
                      <w:color w:val="F4E8D7"/>
                      <w:sz w:val="16"/>
                    </w:rPr>
                    <w:t>Precision. Performance. Prestige.</w:t>
                  </w:r>
                </w:p>
              </w:tc>
            </w:tr>
          </w:tbl>
          <w:p/>
          <w:tbl>
            <w:tblPr>
              <w:tblW w:type="pct" w:w="5000"/>
              <w:tblLook w:firstColumn="1" w:firstRow="1" w:lastColumn="0" w:lastRow="0" w:noHBand="0" w:noVBand="1" w:val="04A0"/>
            </w:tblPr>
            <w:tblGrid>
              <w:gridCol w:w="10998"/>
            </w:tblGrid>
            <w:tr>
              <w:tc>
                <w:tcPr>
                  <w:tcW w:type="dxa" w:w="10998"/>
                  <w:shd w:fill="F4E8D7"/>
                  <w:tcMar>
                    <w:top w:w="85" w:type="dxa"/>
                    <w:start w:w="120" w:type="dxa"/>
                    <w:bottom w:w="80" w:type="dxa"/>
                    <w:end w:w="120" w:type="dxa"/>
                  </w:tcMar>
                  <w:tcBorders>
                    <w:bottom w:sz="4" w:val="single" w:color="B08D57"/>
                  </w:tcBorders>
                </w:tcPr>
                <w:p>
                  <w:r/>
                </w:p>
                <w:p>
                  <w:pPr>
                    <w:spacing w:after="0" w:before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Specialist, industry-current beauty and nail education for Further Education learners - designed to support confident, safe, salon-ready practice with minimal extra admin for the college.</w:t>
                  </w:r>
                </w:p>
              </w:tc>
            </w:tr>
          </w:tbl>
          <w:p/>
          <w:tbl>
            <w:tblPr>
              <w:tblW w:type="pct" w:w="5000"/>
              <w:jc w:val="center"/>
              <w:tblLayout w:type="fixed"/>
              <w:tblLook w:firstColumn="1" w:firstRow="1" w:lastColumn="0" w:lastRow="0" w:noHBand="0" w:noVBand="1" w:val="04A0"/>
            </w:tblPr>
            <w:tblGrid>
              <w:gridCol w:w="5499"/>
              <w:gridCol w:w="5499"/>
            </w:tblGrid>
            <w:tr>
              <w:tc>
                <w:tcPr>
                  <w:tcW w:type="dxa" w:w="5215"/>
                  <w:shd w:fill="F6F1EB"/>
                  <w:tcMar>
                    <w:top w:w="80" w:type="dxa"/>
                    <w:start w:w="95" w:type="dxa"/>
                    <w:bottom w:w="70" w:type="dxa"/>
                    <w:end w:w="95" w:type="dxa"/>
                  </w:tcMar>
                  <w:vAlign w:val="top"/>
                  <w:tcBorders>
                    <w:right w:sz="5" w:val="single" w:color="B08D57"/>
                  </w:tcBorders>
                </w:tcPr>
                <w:p>
                  <w:r/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4C0E14"/>
                      <w:sz w:val="17"/>
                    </w:rPr>
                    <w:t>EDUCATOR PROFILE</w:t>
                  </w:r>
                </w:p>
                <w:p>
                  <w:pPr>
                    <w:spacing w:after="0" w:before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4C0E14"/>
                      <w:sz w:val="20"/>
                    </w:rPr>
                    <w:t>Alexis Courtney</w:t>
                  </w:r>
                </w:p>
                <w:p>
                  <w:pPr>
                    <w:spacing w:after="0" w:before="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4"/>
                    </w:rPr>
                    <w:t>Founder of AuraLuxe Beauty Studio &amp; Academy | Beauty &amp; Nail Professional | Trainer | Mentor | Assessor | IQA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25 years experience in the nail industry and 20+ years across beauty, brows, lashes, facials, tanning and massage.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Active salon owner and academy director in Midleton, Co. Cork - teaching current salon standards, not outdated textbook-only techniques.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Experienced in practical skills training, learner support, assessment thinking, professional standards and confidence building.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4C0E14"/>
                      <w:sz w:val="17"/>
                    </w:rPr>
                    <w:t>BEST-FIT COLLEGE USES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Industry masterclasses for PLC, FET and ETB beauty/nail learners.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Skills enrichment days during quiet weeks, revision periods or employability events.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Tutor CPD/industry update sessions where staff want current salon insight.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Confidence clinics for learners who need more supervised practical practice.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4C0E14"/>
                      <w:sz w:val="17"/>
                    </w:rPr>
                    <w:t>WHAT MAKES THIS DIFFERENT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4"/>
                    </w:rPr>
                    <w:t>Structured education day: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 xml:space="preserve"> outcome, why it matters, demo, guided practice, checks, feedback and next steps.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4"/>
                    </w:rPr>
                    <w:t>College-ready resources: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 xml:space="preserve"> handouts, checklists and clear learner guidance.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4"/>
                    </w:rPr>
                    <w:t>Low-admin support: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 xml:space="preserve"> planning, delivery resources and post-training summary report included.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4"/>
                    </w:rPr>
                    <w:t>Premium learner experience: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 xml:space="preserve"> calm, professional, confidence-building delivery.</w:t>
                  </w:r>
                </w:p>
              </w:tc>
              <w:tc>
                <w:tcPr>
                  <w:tcW w:type="dxa" w:w="5555"/>
                  <w:shd w:fill="F6F1EB"/>
                  <w:tcMar>
                    <w:top w:w="80" w:type="dxa"/>
                    <w:start w:w="95" w:type="dxa"/>
                    <w:bottom w:w="70" w:type="dxa"/>
                    <w:end w:w="95" w:type="dxa"/>
                  </w:tcMar>
                  <w:vAlign w:val="top"/>
                </w:tcPr>
                <w:p>
                  <w:r/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4C0E14"/>
                      <w:sz w:val="17"/>
                    </w:rPr>
                    <w:t>TRAINING MENU</w:t>
                  </w:r>
                </w:p>
                <w:p>
                  <w:pPr>
                    <w:spacing w:after="6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3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3"/>
                    </w:rPr>
                    <w:t xml:space="preserve">E-File Safety &amp; Modern Refill Techniques: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3"/>
                    </w:rPr>
                    <w:t>natural nail safety, bit knowledge, removals, refinement and refill confidence</w:t>
                  </w:r>
                </w:p>
                <w:p>
                  <w:pPr>
                    <w:spacing w:after="6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3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3"/>
                    </w:rPr>
                    <w:t xml:space="preserve">BIAB / Builder Gel Skills Day: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3"/>
                    </w:rPr>
                    <w:t>prep, structure, apex, product choice, lifting prevention and troubleshooting</w:t>
                  </w:r>
                </w:p>
                <w:p>
                  <w:pPr>
                    <w:spacing w:after="6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3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3"/>
                    </w:rPr>
                    <w:t xml:space="preserve">Gel Polish &amp; Natural Nail Standards: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3"/>
                    </w:rPr>
                    <w:t>prep, application, removal, timing and finish quality</w:t>
                  </w:r>
                </w:p>
                <w:p>
                  <w:pPr>
                    <w:spacing w:after="6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3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3"/>
                    </w:rPr>
                    <w:t xml:space="preserve">Brows, Lashes &amp; Client Care: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3"/>
                    </w:rPr>
                    <w:t>brow mapping, lamination/lash lift theory, consultation and professional standards</w:t>
                  </w:r>
                </w:p>
                <w:p>
                  <w:pPr>
                    <w:spacing w:after="6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3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3"/>
                    </w:rPr>
                    <w:t xml:space="preserve">Waxing Technique &amp; Confidence Clinic: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3"/>
                    </w:rPr>
                    <w:t>contraindications, positioning, application/removal technique and aftercare</w:t>
                  </w:r>
                </w:p>
                <w:p>
                  <w:pPr>
                    <w:spacing w:after="6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3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3"/>
                    </w:rPr>
                    <w:t xml:space="preserve">Salon-Ready Professionalism: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3"/>
                    </w:rPr>
                    <w:t>client communication, boundaries, pricing awareness, retail confidence and employability</w:t>
                  </w:r>
                </w:p>
                <w:p>
                  <w:pPr>
                    <w:spacing w:after="6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3"/>
                    </w:rPr>
                    <w:t xml:space="preserve">• </w:t>
                  </w:r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3"/>
                    </w:rPr>
                    <w:t xml:space="preserve">Tutor CPD / Industry Update: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3"/>
                    </w:rPr>
                    <w:t>current salon methods, tools, trends, safety issues and learner troubleshooting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4C0E14"/>
                      <w:sz w:val="17"/>
                    </w:rPr>
                    <w:t>WHAT COLLEGES RECEIVE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Pre-session planning call or email to align with learner level and college aims.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Clear session outline with learning outcomes and practical focus.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Professional demonstration, supervised learner practice and safety guidance.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Learner handouts/checklists where appropriate.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Confidence checks, verbal feedback and practical troubleshooting.</w:t>
                  </w:r>
                </w:p>
                <w:p>
                  <w:pPr>
                    <w:spacing w:after="8" w:before="0" w:line="240" w:lineRule="auto"/>
                    <w:ind w:left="140" w:hanging="140"/>
                  </w:pPr>
                  <w:r>
                    <w:rPr>
                      <w:rFonts w:ascii="Arial" w:hAnsi="Arial" w:eastAsia="Arial"/>
                      <w:b/>
                      <w:i w:val="0"/>
                      <w:color w:val="B08D57"/>
                      <w:sz w:val="14"/>
                    </w:rPr>
                    <w:t xml:space="preserve">•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4"/>
                    </w:rPr>
                    <w:t>Short post-training summary report for college records and future planning.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4C0E14"/>
                      <w:sz w:val="17"/>
                    </w:rPr>
                    <w:t>DELIVERY OPTIONS</w:t>
                  </w:r>
                </w:p>
                <w:tbl>
                  <w:tblPr>
                    <w:tblW w:type="pct" w:w="5000"/>
                    <w:jc w:val="center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777"/>
                    <w:gridCol w:w="2777"/>
                  </w:tblGrid>
                  <w:tr>
                    <w:tc>
                      <w:tcPr>
                        <w:tcW w:type="dxa" w:w="2777"/>
                        <w:shd w:fill="FFFFFF"/>
                        <w:tcMar>
                          <w:top w:w="55" w:type="dxa"/>
                          <w:start w:w="55" w:type="dxa"/>
                          <w:bottom w:w="50" w:type="dxa"/>
                          <w:end w:w="55" w:type="dxa"/>
                        </w:tcMar>
                        <w:tcBorders>
                          <w:top w:sz="3" w:val="single" w:color="B08D57"/>
                          <w:left w:sz="3" w:val="single" w:color="B08D57"/>
                          <w:bottom w:sz="3" w:val="single" w:color="B08D57"/>
                          <w:right w:sz="3" w:val="single" w:color="B08D57"/>
                        </w:tcBorders>
                      </w:tcPr>
                      <w:p>
                        <w:r/>
                      </w:p>
                      <w:p>
                        <w:pPr>
                          <w:spacing w:after="0" w:before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i w:val="0"/>
                            <w:color w:val="4C0E14"/>
                            <w:sz w:val="13"/>
                          </w:rPr>
                          <w:t>Half-Day Clinic</w:t>
                        </w:r>
                      </w:p>
                      <w:p>
                        <w:pPr>
                          <w:spacing w:after="0" w:before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 w:val="0"/>
                            <w:i w:val="0"/>
                            <w:color w:val="111111"/>
                            <w:sz w:val="12"/>
                          </w:rPr>
                          <w:t>Focused skill boost</w:t>
                        </w:r>
                      </w:p>
                    </w:tc>
                    <w:tc>
                      <w:tcPr>
                        <w:tcW w:type="dxa" w:w="2777"/>
                        <w:shd w:fill="FFFFFF"/>
                        <w:tcMar>
                          <w:top w:w="55" w:type="dxa"/>
                          <w:start w:w="55" w:type="dxa"/>
                          <w:bottom w:w="50" w:type="dxa"/>
                          <w:end w:w="55" w:type="dxa"/>
                        </w:tcMar>
                        <w:tcBorders>
                          <w:top w:sz="3" w:val="single" w:color="B08D57"/>
                          <w:left w:sz="3" w:val="single" w:color="B08D57"/>
                          <w:bottom w:sz="3" w:val="single" w:color="B08D57"/>
                          <w:right w:sz="3" w:val="single" w:color="B08D57"/>
                        </w:tcBorders>
                      </w:tcPr>
                      <w:p>
                        <w:r/>
                      </w:p>
                      <w:p>
                        <w:pPr>
                          <w:spacing w:after="0" w:before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i w:val="0"/>
                            <w:color w:val="4C0E14"/>
                            <w:sz w:val="13"/>
                          </w:rPr>
                          <w:t>Full-Day Masterclass</w:t>
                        </w:r>
                      </w:p>
                      <w:p>
                        <w:pPr>
                          <w:spacing w:after="0" w:before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 w:val="0"/>
                            <w:i w:val="0"/>
                            <w:color w:val="111111"/>
                            <w:sz w:val="12"/>
                          </w:rPr>
                          <w:t>Best for hands-on practice</w:t>
                        </w:r>
                      </w:p>
                    </w:tc>
                  </w:tr>
                  <w:tr>
                    <w:tc>
                      <w:tcPr>
                        <w:tcW w:type="dxa" w:w="2777"/>
                        <w:shd w:fill="FFFFFF"/>
                        <w:tcMar>
                          <w:top w:w="55" w:type="dxa"/>
                          <w:start w:w="55" w:type="dxa"/>
                          <w:bottom w:w="50" w:type="dxa"/>
                          <w:end w:w="55" w:type="dxa"/>
                        </w:tcMar>
                        <w:tcBorders>
                          <w:top w:sz="3" w:val="single" w:color="B08D57"/>
                          <w:left w:sz="3" w:val="single" w:color="B08D57"/>
                          <w:bottom w:sz="3" w:val="single" w:color="B08D57"/>
                          <w:right w:sz="3" w:val="single" w:color="B08D57"/>
                        </w:tcBorders>
                      </w:tcPr>
                      <w:p>
                        <w:r/>
                      </w:p>
                      <w:p>
                        <w:pPr>
                          <w:spacing w:after="0" w:before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i w:val="0"/>
                            <w:color w:val="4C0E14"/>
                            <w:sz w:val="13"/>
                          </w:rPr>
                          <w:t>2-4 Part Skills Series</w:t>
                        </w:r>
                      </w:p>
                      <w:p>
                        <w:pPr>
                          <w:spacing w:after="0" w:before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 w:val="0"/>
                            <w:i w:val="0"/>
                            <w:color w:val="111111"/>
                            <w:sz w:val="12"/>
                          </w:rPr>
                          <w:t>Progressive learner development</w:t>
                        </w:r>
                      </w:p>
                    </w:tc>
                    <w:tc>
                      <w:tcPr>
                        <w:tcW w:type="dxa" w:w="2777"/>
                        <w:shd w:fill="FFFFFF"/>
                        <w:tcMar>
                          <w:top w:w="55" w:type="dxa"/>
                          <w:start w:w="55" w:type="dxa"/>
                          <w:bottom w:w="50" w:type="dxa"/>
                          <w:end w:w="55" w:type="dxa"/>
                        </w:tcMar>
                        <w:tcBorders>
                          <w:top w:sz="3" w:val="single" w:color="B08D57"/>
                          <w:left w:sz="3" w:val="single" w:color="B08D57"/>
                          <w:bottom w:sz="3" w:val="single" w:color="B08D57"/>
                          <w:right w:sz="3" w:val="single" w:color="B08D57"/>
                        </w:tcBorders>
                      </w:tcPr>
                      <w:p>
                        <w:r/>
                      </w:p>
                      <w:p>
                        <w:pPr>
                          <w:spacing w:after="0" w:before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i w:val="0"/>
                            <w:color w:val="4C0E14"/>
                            <w:sz w:val="13"/>
                          </w:rPr>
                          <w:t>Tutor CPD</w:t>
                        </w:r>
                      </w:p>
                      <w:p>
                        <w:pPr>
                          <w:spacing w:after="0" w:before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 w:val="0"/>
                            <w:i w:val="0"/>
                            <w:color w:val="111111"/>
                            <w:sz w:val="12"/>
                          </w:rPr>
                          <w:t>Staff industry update</w:t>
                        </w:r>
                      </w:p>
                    </w:tc>
                  </w:tr>
                </w:tbl>
                <w:p/>
              </w:tc>
            </w:tr>
          </w:tbl>
          <w:p/>
          <w:tbl>
            <w:tblPr>
              <w:tblW w:type="pct" w:w="5000"/>
              <w:tblLook w:firstColumn="1" w:firstRow="1" w:lastColumn="0" w:lastRow="0" w:noHBand="0" w:noVBand="1" w:val="04A0"/>
            </w:tblPr>
            <w:tblGrid>
              <w:gridCol w:w="10998"/>
            </w:tblGrid>
            <w:tr>
              <w:tc>
                <w:tcPr>
                  <w:tcW w:type="dxa" w:w="10998"/>
                  <w:shd w:fill="4C0E14"/>
                  <w:tcMar>
                    <w:top w:w="100" w:type="dxa"/>
                    <w:start w:w="120" w:type="dxa"/>
                    <w:bottom w:w="95" w:type="dxa"/>
                    <w:end w:w="120" w:type="dxa"/>
                  </w:tcMar>
                </w:tcPr>
                <w:p>
                  <w:r/>
                </w:p>
                <w:p>
                  <w:pPr>
                    <w:spacing w:after="0" w:before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i w:val="0"/>
                      <w:color w:val="FFFFFF"/>
                      <w:sz w:val="16"/>
                    </w:rPr>
                    <w:t>NEXT STEP: Request a tailored quote, sample session outline or available dates.</w:t>
                  </w:r>
                </w:p>
                <w:p>
                  <w:pPr>
                    <w:spacing w:after="0" w:before="0" w:line="240" w:lineRule="auto"/>
                    <w:jc w:val="center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F4E8D7"/>
                      <w:sz w:val="14"/>
                    </w:rPr>
                    <w:t>AuraLuxe Beauty Studio &amp; Academy | Midleton, Co. Cork | 086-761-7143 | auraluxebeautypro@gmail.com | www.americanbeauty.ie</w:t>
                  </w:r>
                </w:p>
              </w:tc>
            </w:tr>
          </w:tbl>
          <w:p/>
          <w:p>
            <w:pPr>
              <w:spacing w:after="0" w:before="40"/>
              <w:jc w:val="center"/>
            </w:pPr>
            <w:r>
              <w:rPr>
                <w:rFonts w:ascii="Arial" w:hAnsi="Arial" w:eastAsia="Arial"/>
                <w:b w:val="0"/>
                <w:i/>
                <w:color w:val="111111"/>
                <w:sz w:val="12"/>
              </w:rPr>
              <w:t>All sessions are tailored to learner level, college facilities, timing, class size and required practical focus. Insurance/certification details can be supplied on request.</w:t>
            </w:r>
          </w:p>
        </w:tc>
      </w:tr>
    </w:tbl>
    <w:sectPr w:rsidR="00FC693F" w:rsidRPr="0006063C" w:rsidSect="00034616">
      <w:pgSz w:w="11906" w:h="16838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